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60" w:rsidRPr="001764F6" w:rsidRDefault="00042E3F">
      <w:pPr>
        <w:rPr>
          <w:rFonts w:hint="eastAsia"/>
          <w:sz w:val="24"/>
          <w:szCs w:val="24"/>
        </w:rPr>
      </w:pPr>
      <w:r w:rsidRPr="001764F6">
        <w:rPr>
          <w:rFonts w:hint="eastAsia"/>
          <w:sz w:val="24"/>
          <w:szCs w:val="24"/>
        </w:rPr>
        <w:t>宇宙科学レポート</w:t>
      </w:r>
      <w:r w:rsidR="00DD1D7B" w:rsidRPr="001764F6">
        <w:rPr>
          <w:rFonts w:hint="eastAsia"/>
          <w:sz w:val="24"/>
          <w:szCs w:val="24"/>
        </w:rPr>
        <w:t>（蜂巣）</w:t>
      </w:r>
    </w:p>
    <w:p w:rsidR="00DD1D7B" w:rsidRPr="001764F6" w:rsidRDefault="00DD1D7B">
      <w:pPr>
        <w:rPr>
          <w:rFonts w:hint="eastAsia"/>
          <w:sz w:val="24"/>
          <w:szCs w:val="24"/>
        </w:rPr>
      </w:pPr>
      <w:r w:rsidRPr="001764F6">
        <w:rPr>
          <w:rFonts w:hint="eastAsia"/>
          <w:sz w:val="24"/>
          <w:szCs w:val="24"/>
        </w:rPr>
        <w:t xml:space="preserve">　締切</w:t>
      </w:r>
      <w:r w:rsidR="001764F6" w:rsidRPr="001764F6">
        <w:rPr>
          <w:rFonts w:hint="eastAsia"/>
          <w:sz w:val="24"/>
          <w:szCs w:val="24"/>
        </w:rPr>
        <w:t>り</w:t>
      </w:r>
      <w:r w:rsidRPr="001764F6">
        <w:rPr>
          <w:rFonts w:hint="eastAsia"/>
          <w:sz w:val="24"/>
          <w:szCs w:val="24"/>
        </w:rPr>
        <w:t>は１週間後の</w:t>
      </w:r>
      <w:r w:rsidR="001764F6" w:rsidRPr="001764F6">
        <w:rPr>
          <w:rFonts w:hint="eastAsia"/>
          <w:sz w:val="24"/>
          <w:szCs w:val="24"/>
        </w:rPr>
        <w:t>６月２９日（月）午後４時。</w:t>
      </w:r>
    </w:p>
    <w:p w:rsidR="001764F6" w:rsidRPr="001764F6" w:rsidRDefault="001764F6">
      <w:pPr>
        <w:rPr>
          <w:rFonts w:hint="eastAsia"/>
          <w:sz w:val="24"/>
          <w:szCs w:val="24"/>
        </w:rPr>
      </w:pPr>
      <w:r w:rsidRPr="001764F6">
        <w:rPr>
          <w:rFonts w:hint="eastAsia"/>
          <w:sz w:val="24"/>
          <w:szCs w:val="24"/>
        </w:rPr>
        <w:t xml:space="preserve">　提出先は、教務課レポートボックス、または６月２９日の授業時に。</w:t>
      </w:r>
    </w:p>
    <w:p w:rsidR="001764F6" w:rsidRPr="001764F6" w:rsidRDefault="001764F6">
      <w:pPr>
        <w:rPr>
          <w:rFonts w:hint="eastAsia"/>
          <w:sz w:val="24"/>
          <w:szCs w:val="24"/>
        </w:rPr>
      </w:pPr>
      <w:r w:rsidRPr="001764F6">
        <w:rPr>
          <w:rFonts w:hint="eastAsia"/>
          <w:sz w:val="24"/>
          <w:szCs w:val="24"/>
        </w:rPr>
        <w:t xml:space="preserve">　名前、学生証番号、クラスを忘れずに記入。用紙は</w:t>
      </w:r>
      <w:r w:rsidRPr="001764F6">
        <w:rPr>
          <w:rFonts w:hint="eastAsia"/>
          <w:sz w:val="24"/>
          <w:szCs w:val="24"/>
        </w:rPr>
        <w:t>A</w:t>
      </w:r>
      <w:r w:rsidRPr="001764F6">
        <w:rPr>
          <w:rFonts w:hint="eastAsia"/>
          <w:sz w:val="24"/>
          <w:szCs w:val="24"/>
        </w:rPr>
        <w:t>４版。</w:t>
      </w:r>
    </w:p>
    <w:p w:rsidR="00DD1D7B" w:rsidRPr="001764F6" w:rsidRDefault="00DD1D7B">
      <w:pPr>
        <w:rPr>
          <w:rFonts w:hint="eastAsia"/>
          <w:sz w:val="24"/>
          <w:szCs w:val="24"/>
        </w:rPr>
      </w:pPr>
    </w:p>
    <w:p w:rsidR="00042E3F" w:rsidRPr="001764F6" w:rsidRDefault="00042E3F">
      <w:pPr>
        <w:rPr>
          <w:rFonts w:hint="eastAsia"/>
          <w:sz w:val="24"/>
          <w:szCs w:val="24"/>
        </w:rPr>
      </w:pPr>
    </w:p>
    <w:p w:rsidR="00042E3F" w:rsidRPr="001764F6" w:rsidRDefault="00042E3F" w:rsidP="00042E3F">
      <w:pPr>
        <w:pStyle w:val="a3"/>
        <w:numPr>
          <w:ilvl w:val="0"/>
          <w:numId w:val="1"/>
        </w:numPr>
        <w:ind w:leftChars="0"/>
        <w:rPr>
          <w:rFonts w:hint="eastAsia"/>
          <w:sz w:val="24"/>
          <w:szCs w:val="24"/>
        </w:rPr>
      </w:pPr>
      <w:r w:rsidRPr="001764F6">
        <w:rPr>
          <w:rFonts w:hint="eastAsia"/>
          <w:sz w:val="24"/>
          <w:szCs w:val="24"/>
        </w:rPr>
        <w:t xml:space="preserve">　</w:t>
      </w:r>
      <w:r w:rsidRPr="001764F6">
        <w:rPr>
          <w:sz w:val="24"/>
          <w:szCs w:val="24"/>
        </w:rPr>
        <w:t>a</w:t>
      </w:r>
      <w:r w:rsidRPr="001764F6">
        <w:rPr>
          <w:rFonts w:hint="eastAsia"/>
          <w:sz w:val="24"/>
          <w:szCs w:val="24"/>
          <w:vertAlign w:val="subscript"/>
        </w:rPr>
        <w:t>2</w:t>
      </w:r>
      <w:r w:rsidRPr="001764F6">
        <w:rPr>
          <w:rFonts w:hint="eastAsia"/>
          <w:sz w:val="24"/>
          <w:szCs w:val="24"/>
          <w:vertAlign w:val="subscript"/>
        </w:rPr>
        <w:t>、</w:t>
      </w:r>
      <w:r w:rsidRPr="001764F6">
        <w:rPr>
          <w:rFonts w:hint="eastAsia"/>
          <w:sz w:val="24"/>
          <w:szCs w:val="24"/>
        </w:rPr>
        <w:t>a</w:t>
      </w:r>
      <w:r w:rsidRPr="001764F6">
        <w:rPr>
          <w:rFonts w:hint="eastAsia"/>
          <w:sz w:val="24"/>
          <w:szCs w:val="24"/>
          <w:vertAlign w:val="subscript"/>
        </w:rPr>
        <w:t>3</w:t>
      </w:r>
      <w:r w:rsidRPr="001764F6">
        <w:rPr>
          <w:rFonts w:hint="eastAsia"/>
          <w:sz w:val="24"/>
          <w:szCs w:val="24"/>
          <w:vertAlign w:val="subscript"/>
        </w:rPr>
        <w:t>、</w:t>
      </w:r>
      <w:r w:rsidRPr="001764F6">
        <w:rPr>
          <w:rFonts w:hint="eastAsia"/>
          <w:sz w:val="24"/>
          <w:szCs w:val="24"/>
        </w:rPr>
        <w:t>M</w:t>
      </w:r>
      <w:r w:rsidRPr="001764F6">
        <w:rPr>
          <w:rFonts w:asciiTheme="minorEastAsia" w:hAnsiTheme="minorEastAsia" w:hint="eastAsia"/>
          <w:sz w:val="24"/>
          <w:szCs w:val="24"/>
          <w:vertAlign w:val="subscript"/>
        </w:rPr>
        <w:t>⦿</w:t>
      </w:r>
      <w:r w:rsidRPr="001764F6">
        <w:rPr>
          <w:rFonts w:asciiTheme="minorEastAsia" w:hAnsiTheme="minorEastAsia" w:hint="eastAsia"/>
          <w:sz w:val="24"/>
          <w:szCs w:val="24"/>
        </w:rPr>
        <w:t>を２桁の精度で求めなさい。</w:t>
      </w:r>
    </w:p>
    <w:p w:rsidR="00042E3F" w:rsidRPr="001764F6" w:rsidRDefault="00042E3F" w:rsidP="00042E3F">
      <w:pPr>
        <w:pStyle w:val="a3"/>
        <w:ind w:leftChars="0" w:left="720"/>
        <w:rPr>
          <w:rFonts w:asciiTheme="minorEastAsia" w:hAnsiTheme="minorEastAsia" w:hint="eastAsia"/>
          <w:sz w:val="24"/>
          <w:szCs w:val="24"/>
        </w:rPr>
      </w:pPr>
      <w:r w:rsidRPr="001764F6">
        <w:rPr>
          <w:rFonts w:asciiTheme="minorEastAsia" w:hAnsiTheme="minorEastAsia" w:hint="eastAsia"/>
          <w:sz w:val="24"/>
          <w:szCs w:val="24"/>
        </w:rPr>
        <w:t xml:space="preserve">　　但し、光速度</w:t>
      </w:r>
      <w:r w:rsidRPr="001764F6">
        <w:rPr>
          <w:rFonts w:ascii="Times New Roman" w:hAnsi="Times New Roman" w:cs="Times New Roman"/>
          <w:sz w:val="24"/>
          <w:szCs w:val="24"/>
        </w:rPr>
        <w:t>c=3×10</w:t>
      </w:r>
      <w:r w:rsidRPr="001764F6">
        <w:rPr>
          <w:rFonts w:ascii="Times New Roman" w:hAnsi="Times New Roman" w:cs="Times New Roman"/>
          <w:sz w:val="24"/>
          <w:szCs w:val="24"/>
          <w:vertAlign w:val="superscript"/>
        </w:rPr>
        <w:t>8</w:t>
      </w:r>
      <w:r w:rsidRPr="001764F6">
        <w:rPr>
          <w:rFonts w:ascii="Times New Roman" w:hAnsi="Times New Roman" w:cs="Times New Roman"/>
          <w:sz w:val="24"/>
          <w:szCs w:val="24"/>
        </w:rPr>
        <w:t xml:space="preserve"> m/s</w:t>
      </w:r>
      <w:r w:rsidRPr="001764F6">
        <w:rPr>
          <w:rFonts w:asciiTheme="minorEastAsia" w:hAnsiTheme="minorEastAsia" w:hint="eastAsia"/>
          <w:sz w:val="24"/>
          <w:szCs w:val="24"/>
        </w:rPr>
        <w:t>、重力定数</w:t>
      </w:r>
      <w:r w:rsidRPr="001764F6">
        <w:rPr>
          <w:rFonts w:ascii="Times New Roman" w:hAnsi="Times New Roman" w:cs="Times New Roman"/>
          <w:sz w:val="24"/>
          <w:szCs w:val="24"/>
        </w:rPr>
        <w:t>G=6.7×10</w:t>
      </w:r>
      <w:r w:rsidRPr="001764F6">
        <w:rPr>
          <w:rFonts w:ascii="Times New Roman" w:hAnsi="Times New Roman" w:cs="Times New Roman"/>
          <w:sz w:val="24"/>
          <w:szCs w:val="24"/>
          <w:vertAlign w:val="superscript"/>
        </w:rPr>
        <w:t>-11</w:t>
      </w:r>
      <w:r w:rsidRPr="001764F6">
        <w:rPr>
          <w:rFonts w:ascii="Times New Roman" w:hAnsi="Times New Roman" w:cs="Times New Roman"/>
          <w:sz w:val="24"/>
          <w:szCs w:val="24"/>
        </w:rPr>
        <w:t xml:space="preserve"> Nm</w:t>
      </w:r>
      <w:r w:rsidRPr="001764F6">
        <w:rPr>
          <w:rFonts w:ascii="Times New Roman" w:hAnsi="Times New Roman" w:cs="Times New Roman"/>
          <w:sz w:val="24"/>
          <w:szCs w:val="24"/>
          <w:vertAlign w:val="superscript"/>
        </w:rPr>
        <w:t>2</w:t>
      </w:r>
      <w:r w:rsidRPr="001764F6">
        <w:rPr>
          <w:rFonts w:ascii="Times New Roman" w:hAnsi="Times New Roman" w:cs="Times New Roman"/>
          <w:sz w:val="24"/>
          <w:szCs w:val="24"/>
        </w:rPr>
        <w:t>kg</w:t>
      </w:r>
      <w:r w:rsidRPr="001764F6">
        <w:rPr>
          <w:rFonts w:ascii="Times New Roman" w:hAnsi="Times New Roman" w:cs="Times New Roman"/>
          <w:sz w:val="24"/>
          <w:szCs w:val="24"/>
          <w:vertAlign w:val="superscript"/>
        </w:rPr>
        <w:t>-2</w:t>
      </w:r>
      <w:r w:rsidR="00DD1D7B" w:rsidRPr="001764F6">
        <w:rPr>
          <w:rFonts w:asciiTheme="minorEastAsia" w:hAnsiTheme="minorEastAsia" w:hint="eastAsia"/>
          <w:sz w:val="24"/>
          <w:szCs w:val="24"/>
        </w:rPr>
        <w:t>を用い、</w:t>
      </w:r>
    </w:p>
    <w:p w:rsidR="00DD1D7B" w:rsidRPr="001764F6" w:rsidRDefault="00DD1D7B" w:rsidP="00DD1D7B">
      <w:pPr>
        <w:pStyle w:val="a3"/>
        <w:ind w:leftChars="0" w:left="720"/>
        <w:rPr>
          <w:rFonts w:asciiTheme="minorEastAsia" w:hAnsiTheme="minorEastAsia" w:hint="eastAsia"/>
          <w:sz w:val="24"/>
          <w:szCs w:val="24"/>
        </w:rPr>
      </w:pPr>
      <w:r w:rsidRPr="001764F6">
        <w:rPr>
          <w:rFonts w:asciiTheme="minorEastAsia" w:hAnsiTheme="minorEastAsia" w:hint="eastAsia"/>
          <w:sz w:val="24"/>
          <w:szCs w:val="24"/>
        </w:rPr>
        <w:t xml:space="preserve">　　必要なら、</w:t>
      </w:r>
      <w:r w:rsidRPr="001764F6">
        <w:rPr>
          <w:rFonts w:ascii="Times New Roman" w:hAnsi="Times New Roman" w:cs="Times New Roman"/>
          <w:sz w:val="24"/>
          <w:szCs w:val="24"/>
        </w:rPr>
        <w:t>(0.615)</w:t>
      </w:r>
      <w:r w:rsidRPr="001764F6">
        <w:rPr>
          <w:rFonts w:ascii="Times New Roman" w:hAnsi="Times New Roman" w:cs="Times New Roman"/>
          <w:sz w:val="24"/>
          <w:szCs w:val="24"/>
          <w:vertAlign w:val="superscript"/>
        </w:rPr>
        <w:t>3/2</w:t>
      </w:r>
      <w:r w:rsidRPr="001764F6">
        <w:rPr>
          <w:rFonts w:ascii="Times New Roman" w:hAnsi="Times New Roman" w:cs="Times New Roman"/>
          <w:sz w:val="24"/>
          <w:szCs w:val="24"/>
        </w:rPr>
        <w:t>=0.723</w:t>
      </w:r>
      <w:r w:rsidRPr="001764F6">
        <w:rPr>
          <w:rFonts w:ascii="Times New Roman" w:hAnsiTheme="minorEastAsia" w:cs="Times New Roman"/>
          <w:sz w:val="24"/>
          <w:szCs w:val="24"/>
        </w:rPr>
        <w:t>、</w:t>
      </w:r>
      <w:r w:rsidRPr="001764F6">
        <w:rPr>
          <w:rFonts w:ascii="Times New Roman" w:hAnsi="Times New Roman" w:cs="Times New Roman"/>
          <w:sz w:val="24"/>
          <w:szCs w:val="24"/>
        </w:rPr>
        <w:t>1yr=3.2×10</w:t>
      </w:r>
      <w:r w:rsidRPr="001764F6">
        <w:rPr>
          <w:rFonts w:ascii="Times New Roman" w:hAnsi="Times New Roman" w:cs="Times New Roman"/>
          <w:sz w:val="24"/>
          <w:szCs w:val="24"/>
          <w:vertAlign w:val="superscript"/>
        </w:rPr>
        <w:t>7</w:t>
      </w:r>
      <w:r w:rsidRPr="001764F6">
        <w:rPr>
          <w:rFonts w:ascii="Times New Roman" w:hAnsi="Times New Roman" w:cs="Times New Roman"/>
          <w:sz w:val="24"/>
          <w:szCs w:val="24"/>
        </w:rPr>
        <w:t>s</w:t>
      </w:r>
      <w:r w:rsidRPr="001764F6">
        <w:rPr>
          <w:rFonts w:asciiTheme="minorEastAsia" w:hAnsiTheme="minorEastAsia" w:hint="eastAsia"/>
          <w:sz w:val="24"/>
          <w:szCs w:val="24"/>
        </w:rPr>
        <w:t xml:space="preserve">　を使え。</w:t>
      </w:r>
    </w:p>
    <w:p w:rsidR="00DD1D7B" w:rsidRPr="001764F6" w:rsidRDefault="00DD1D7B" w:rsidP="00DD1D7B">
      <w:pPr>
        <w:rPr>
          <w:rFonts w:asciiTheme="minorEastAsia" w:hAnsiTheme="minorEastAsia" w:hint="eastAsia"/>
          <w:sz w:val="24"/>
          <w:szCs w:val="24"/>
        </w:rPr>
      </w:pPr>
    </w:p>
    <w:p w:rsidR="00DD1D7B" w:rsidRPr="001764F6" w:rsidRDefault="00DD1D7B" w:rsidP="00DD1D7B">
      <w:pPr>
        <w:pStyle w:val="a3"/>
        <w:numPr>
          <w:ilvl w:val="0"/>
          <w:numId w:val="1"/>
        </w:numPr>
        <w:ind w:leftChars="0"/>
        <w:rPr>
          <w:rFonts w:asciiTheme="minorEastAsia" w:hAnsiTheme="minorEastAsia" w:hint="eastAsia"/>
          <w:sz w:val="24"/>
          <w:szCs w:val="24"/>
        </w:rPr>
      </w:pPr>
      <w:r w:rsidRPr="001764F6">
        <w:rPr>
          <w:rFonts w:asciiTheme="minorEastAsia" w:hAnsiTheme="minorEastAsia" w:hint="eastAsia"/>
          <w:sz w:val="24"/>
          <w:szCs w:val="24"/>
        </w:rPr>
        <w:t xml:space="preserve">　望遠鏡の分解能でも大きさが分からないような恒星の大きさ（半径）がどうして分かるのか。説明しなさい。</w:t>
      </w:r>
    </w:p>
    <w:p w:rsidR="00DD1D7B" w:rsidRPr="001764F6" w:rsidRDefault="00DD1D7B" w:rsidP="00DD1D7B">
      <w:pPr>
        <w:rPr>
          <w:rFonts w:asciiTheme="minorEastAsia" w:hAnsiTheme="minorEastAsia" w:hint="eastAsia"/>
          <w:sz w:val="24"/>
          <w:szCs w:val="24"/>
        </w:rPr>
      </w:pPr>
    </w:p>
    <w:p w:rsidR="00DD1D7B" w:rsidRPr="001764F6" w:rsidRDefault="00DD1D7B" w:rsidP="00DD1D7B">
      <w:pPr>
        <w:pStyle w:val="a3"/>
        <w:numPr>
          <w:ilvl w:val="0"/>
          <w:numId w:val="1"/>
        </w:numPr>
        <w:ind w:leftChars="0"/>
        <w:rPr>
          <w:rFonts w:asciiTheme="minorEastAsia" w:hAnsiTheme="minorEastAsia" w:hint="eastAsia"/>
          <w:sz w:val="24"/>
          <w:szCs w:val="24"/>
        </w:rPr>
      </w:pPr>
      <w:r w:rsidRPr="001764F6">
        <w:rPr>
          <w:rFonts w:asciiTheme="minorEastAsia" w:hAnsiTheme="minorEastAsia" w:hint="eastAsia"/>
          <w:sz w:val="24"/>
          <w:szCs w:val="24"/>
        </w:rPr>
        <w:t xml:space="preserve">　下の２図を参考にして、なぜ質量の大きな星ほど速く水素を燃やして寿命が尽きてしまうのか。説明しなさい。</w:t>
      </w:r>
    </w:p>
    <w:p w:rsidR="00DD1D7B" w:rsidRPr="001764F6" w:rsidRDefault="001764F6" w:rsidP="001764F6">
      <w:pPr>
        <w:pStyle w:val="a3"/>
        <w:jc w:val="center"/>
        <w:rPr>
          <w:rFonts w:asciiTheme="minorEastAsia" w:hAnsiTheme="minorEastAsia" w:hint="eastAsia"/>
          <w:sz w:val="24"/>
          <w:szCs w:val="24"/>
        </w:rPr>
      </w:pPr>
      <w:r w:rsidRPr="001764F6">
        <w:rPr>
          <w:noProof/>
          <w:color w:val="0000FF"/>
          <w:sz w:val="24"/>
          <w:szCs w:val="24"/>
        </w:rPr>
        <w:drawing>
          <wp:inline distT="0" distB="0" distL="0" distR="0">
            <wp:extent cx="5219700" cy="3914775"/>
            <wp:effectExtent l="19050" t="0" r="0" b="0"/>
            <wp:docPr id="7" name="図 7" descr="Page 7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 70">
                      <a:hlinkClick r:id="rId5"/>
                    </pic:cNvPr>
                    <pic:cNvPicPr>
                      <a:picLocks noChangeAspect="1" noChangeArrowheads="1"/>
                    </pic:cNvPicPr>
                  </pic:nvPicPr>
                  <pic:blipFill>
                    <a:blip r:embed="rId6"/>
                    <a:srcRect/>
                    <a:stretch>
                      <a:fillRect/>
                    </a:stretch>
                  </pic:blipFill>
                  <pic:spPr bwMode="auto">
                    <a:xfrm>
                      <a:off x="0" y="0"/>
                      <a:ext cx="5219700" cy="3914775"/>
                    </a:xfrm>
                    <a:prstGeom prst="rect">
                      <a:avLst/>
                    </a:prstGeom>
                    <a:noFill/>
                    <a:ln w="9525">
                      <a:noFill/>
                      <a:miter lim="800000"/>
                      <a:headEnd/>
                      <a:tailEnd/>
                    </a:ln>
                  </pic:spPr>
                </pic:pic>
              </a:graphicData>
            </a:graphic>
          </wp:inline>
        </w:drawing>
      </w:r>
    </w:p>
    <w:p w:rsidR="001764F6" w:rsidRPr="001764F6" w:rsidRDefault="001764F6" w:rsidP="001764F6">
      <w:pPr>
        <w:pStyle w:val="a3"/>
        <w:jc w:val="center"/>
        <w:rPr>
          <w:rFonts w:asciiTheme="minorEastAsia" w:hAnsiTheme="minorEastAsia" w:hint="eastAsia"/>
          <w:sz w:val="24"/>
          <w:szCs w:val="24"/>
        </w:rPr>
      </w:pPr>
    </w:p>
    <w:p w:rsidR="001764F6" w:rsidRPr="001764F6" w:rsidRDefault="001764F6" w:rsidP="001764F6">
      <w:pPr>
        <w:pStyle w:val="a3"/>
        <w:jc w:val="center"/>
        <w:rPr>
          <w:rFonts w:asciiTheme="minorEastAsia" w:hAnsiTheme="minorEastAsia" w:hint="eastAsia"/>
          <w:sz w:val="24"/>
          <w:szCs w:val="24"/>
        </w:rPr>
      </w:pPr>
    </w:p>
    <w:p w:rsidR="001764F6" w:rsidRPr="001764F6" w:rsidRDefault="001764F6" w:rsidP="001764F6">
      <w:pPr>
        <w:pStyle w:val="a3"/>
        <w:jc w:val="center"/>
        <w:rPr>
          <w:rFonts w:asciiTheme="minorEastAsia" w:hAnsiTheme="minorEastAsia" w:hint="eastAsia"/>
          <w:sz w:val="24"/>
          <w:szCs w:val="24"/>
        </w:rPr>
      </w:pPr>
    </w:p>
    <w:p w:rsidR="00DD1D7B" w:rsidRPr="001764F6" w:rsidRDefault="00DD1D7B" w:rsidP="00DD1D7B">
      <w:pPr>
        <w:pStyle w:val="a3"/>
        <w:numPr>
          <w:ilvl w:val="0"/>
          <w:numId w:val="1"/>
        </w:numPr>
        <w:ind w:leftChars="0"/>
        <w:rPr>
          <w:rFonts w:asciiTheme="minorEastAsia" w:hAnsiTheme="minorEastAsia" w:hint="eastAsia"/>
          <w:sz w:val="24"/>
          <w:szCs w:val="24"/>
        </w:rPr>
      </w:pPr>
      <w:r w:rsidRPr="001764F6">
        <w:rPr>
          <w:rFonts w:asciiTheme="minorEastAsia" w:hAnsiTheme="minorEastAsia" w:hint="eastAsia"/>
          <w:sz w:val="24"/>
          <w:szCs w:val="24"/>
        </w:rPr>
        <w:lastRenderedPageBreak/>
        <w:t xml:space="preserve">　下の２つのＨＲ図を見て、ヘルツシュプルング・ギャップがどこかを示し、なぜそうなるかを説明せよ。</w:t>
      </w:r>
    </w:p>
    <w:p w:rsidR="001764F6" w:rsidRPr="001764F6" w:rsidRDefault="00DD1D7B" w:rsidP="001764F6">
      <w:pPr>
        <w:pStyle w:val="a3"/>
        <w:rPr>
          <w:rFonts w:asciiTheme="minorEastAsia" w:hAnsiTheme="minorEastAsia" w:hint="eastAsia"/>
          <w:sz w:val="24"/>
          <w:szCs w:val="24"/>
        </w:rPr>
      </w:pPr>
      <w:r w:rsidRPr="001764F6">
        <w:rPr>
          <w:noProof/>
          <w:color w:val="0000FF"/>
          <w:sz w:val="24"/>
          <w:szCs w:val="24"/>
        </w:rPr>
        <w:drawing>
          <wp:inline distT="0" distB="0" distL="0" distR="0">
            <wp:extent cx="4521200" cy="3390900"/>
            <wp:effectExtent l="19050" t="0" r="0" b="0"/>
            <wp:docPr id="1" name="図 1" descr="Page 5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51">
                      <a:hlinkClick r:id="rId7"/>
                    </pic:cNvPr>
                    <pic:cNvPicPr>
                      <a:picLocks noChangeAspect="1" noChangeArrowheads="1"/>
                    </pic:cNvPicPr>
                  </pic:nvPicPr>
                  <pic:blipFill>
                    <a:blip r:embed="rId8"/>
                    <a:srcRect/>
                    <a:stretch>
                      <a:fillRect/>
                    </a:stretch>
                  </pic:blipFill>
                  <pic:spPr bwMode="auto">
                    <a:xfrm>
                      <a:off x="0" y="0"/>
                      <a:ext cx="4521200" cy="3390900"/>
                    </a:xfrm>
                    <a:prstGeom prst="rect">
                      <a:avLst/>
                    </a:prstGeom>
                    <a:noFill/>
                    <a:ln w="9525">
                      <a:noFill/>
                      <a:miter lim="800000"/>
                      <a:headEnd/>
                      <a:tailEnd/>
                    </a:ln>
                  </pic:spPr>
                </pic:pic>
              </a:graphicData>
            </a:graphic>
          </wp:inline>
        </w:drawing>
      </w:r>
    </w:p>
    <w:p w:rsidR="00DD1D7B" w:rsidRPr="00DD1D7B" w:rsidRDefault="00DD1D7B" w:rsidP="001764F6">
      <w:pPr>
        <w:pStyle w:val="a3"/>
        <w:numPr>
          <w:ilvl w:val="0"/>
          <w:numId w:val="1"/>
        </w:numPr>
        <w:ind w:leftChars="0"/>
        <w:jc w:val="left"/>
        <w:rPr>
          <w:rFonts w:asciiTheme="minorEastAsia" w:hAnsiTheme="minorEastAsia"/>
        </w:rPr>
      </w:pPr>
      <w:r w:rsidRPr="001764F6">
        <w:rPr>
          <w:rFonts w:asciiTheme="minorEastAsia" w:hAnsiTheme="minorEastAsia" w:hint="eastAsia"/>
          <w:sz w:val="24"/>
          <w:szCs w:val="24"/>
        </w:rPr>
        <w:t xml:space="preserve">下のH-P型超新星の光度曲線を参考にして、超新星がなぜ明るくなるのか、および、明るさの変化の理由を述べよ。　</w:t>
      </w:r>
      <w:r>
        <w:rPr>
          <w:noProof/>
          <w:color w:val="0000FF"/>
        </w:rPr>
        <w:drawing>
          <wp:inline distT="0" distB="0" distL="0" distR="0">
            <wp:extent cx="4543425" cy="3407569"/>
            <wp:effectExtent l="19050" t="0" r="9525" b="0"/>
            <wp:docPr id="4" name="図 4" descr="Page 6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 64">
                      <a:hlinkClick r:id="rId9"/>
                    </pic:cNvPr>
                    <pic:cNvPicPr>
                      <a:picLocks noChangeAspect="1" noChangeArrowheads="1"/>
                    </pic:cNvPicPr>
                  </pic:nvPicPr>
                  <pic:blipFill>
                    <a:blip r:embed="rId10"/>
                    <a:srcRect/>
                    <a:stretch>
                      <a:fillRect/>
                    </a:stretch>
                  </pic:blipFill>
                  <pic:spPr bwMode="auto">
                    <a:xfrm>
                      <a:off x="0" y="0"/>
                      <a:ext cx="4543425" cy="3407569"/>
                    </a:xfrm>
                    <a:prstGeom prst="rect">
                      <a:avLst/>
                    </a:prstGeom>
                    <a:noFill/>
                    <a:ln w="9525">
                      <a:noFill/>
                      <a:miter lim="800000"/>
                      <a:headEnd/>
                      <a:tailEnd/>
                    </a:ln>
                  </pic:spPr>
                </pic:pic>
              </a:graphicData>
            </a:graphic>
          </wp:inline>
        </w:drawing>
      </w:r>
    </w:p>
    <w:sectPr w:rsidR="00DD1D7B" w:rsidRPr="00DD1D7B" w:rsidSect="00B5526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B4A0D"/>
    <w:multiLevelType w:val="hybridMultilevel"/>
    <w:tmpl w:val="CACECCB0"/>
    <w:lvl w:ilvl="0" w:tplc="D150644A">
      <w:start w:val="1"/>
      <w:numFmt w:val="japaneseCounting"/>
      <w:lvlText w:val="第%1問"/>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2E3F"/>
    <w:rsid w:val="00042E3F"/>
    <w:rsid w:val="00141BF8"/>
    <w:rsid w:val="001764F6"/>
    <w:rsid w:val="00B55260"/>
    <w:rsid w:val="00DD1D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2E3F"/>
    <w:pPr>
      <w:ind w:leftChars="400" w:left="840"/>
    </w:pPr>
  </w:style>
  <w:style w:type="paragraph" w:styleId="a4">
    <w:name w:val="Balloon Text"/>
    <w:basedOn w:val="a"/>
    <w:link w:val="a5"/>
    <w:uiPriority w:val="99"/>
    <w:semiHidden/>
    <w:unhideWhenUsed/>
    <w:rsid w:val="00DD1D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D1D7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lyman.c.u-tokyo.ac.jp/~hachisu/lecture/astronomy/chap06/mgp00051.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yman.c.u-tokyo.ac.jp/~hachisu/lecture/astronomy/chap05/mgp00070.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yman.c.u-tokyo.ac.jp/~hachisu/lecture/astronomy/chap07/mgp00064.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Yoshiki</dc:creator>
  <cp:lastModifiedBy>Yoshiki</cp:lastModifiedBy>
  <cp:revision>1</cp:revision>
  <dcterms:created xsi:type="dcterms:W3CDTF">2009-06-22T08:42:00Z</dcterms:created>
  <dcterms:modified xsi:type="dcterms:W3CDTF">2009-06-22T09:08:00Z</dcterms:modified>
</cp:coreProperties>
</file>